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0B14A">
      <w:pPr>
        <w:tabs>
          <w:tab w:val="left" w:pos="360"/>
        </w:tabs>
        <w:spacing w:line="360" w:lineRule="auto"/>
        <w:ind w:left="357" w:hanging="357"/>
        <w:jc w:val="center"/>
        <w:rPr>
          <w:rFonts w:hint="eastAsia" w:ascii="Times New Roman" w:hAnsi="Times New Roman" w:cs="Times New Roman"/>
          <w:b/>
          <w:sz w:val="84"/>
          <w:szCs w:val="84"/>
          <w:u w:val="single"/>
        </w:rPr>
      </w:pPr>
      <w:r>
        <w:rPr>
          <w:rFonts w:ascii="宋体" w:hAnsi="宋体" w:cs="宋体"/>
          <w:b/>
          <w:kern w:val="0"/>
          <w:sz w:val="36"/>
          <w:szCs w:val="36"/>
        </w:rPr>
        <w:tab/>
      </w:r>
      <w:r>
        <w:rPr>
          <w:rFonts w:ascii="宋体" w:hAnsi="宋体" w:cs="宋体"/>
          <w:b/>
          <w:kern w:val="0"/>
          <w:sz w:val="36"/>
          <w:szCs w:val="36"/>
        </w:rPr>
        <w:tab/>
      </w:r>
      <w:r>
        <w:rPr>
          <w:rFonts w:hint="eastAsia" w:ascii="宋体" w:hAnsi="宋体" w:cs="宋体"/>
          <w:b/>
          <w:kern w:val="0"/>
          <w:sz w:val="84"/>
          <w:szCs w:val="84"/>
        </w:rPr>
        <w:t>无痛胃肠镜须知</w:t>
      </w:r>
    </w:p>
    <w:p w14:paraId="40A8B9C4">
      <w:pPr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下述不能在健康体检中做无痛胃肠镜：</w:t>
      </w:r>
    </w:p>
    <w:p w14:paraId="1BEF5872">
      <w:pPr>
        <w:pStyle w:val="8"/>
        <w:numPr>
          <w:ilvl w:val="0"/>
          <w:numId w:val="1"/>
        </w:numPr>
        <w:ind w:firstLineChars="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心脏病史，动脉支架植入史的患者。</w:t>
      </w:r>
    </w:p>
    <w:p w14:paraId="06318EBF">
      <w:pPr>
        <w:pStyle w:val="8"/>
        <w:numPr>
          <w:ilvl w:val="0"/>
          <w:numId w:val="1"/>
        </w:numPr>
        <w:ind w:firstLineChars="0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吃抗凝血药物（如阿司匹林、华法令、培达、波利维、泰嘉、氯吡格雷等）患者。需咨询专科医生后，停药7天至10天后，方可做胃肠镜检查。</w:t>
      </w:r>
    </w:p>
    <w:p w14:paraId="3240BC38">
      <w:pPr>
        <w:pStyle w:val="8"/>
        <w:numPr>
          <w:ilvl w:val="0"/>
          <w:numId w:val="1"/>
        </w:numPr>
        <w:ind w:firstLineChars="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哮喘患者。</w:t>
      </w:r>
    </w:p>
    <w:p w14:paraId="76D7A5AA">
      <w:pPr>
        <w:pStyle w:val="8"/>
        <w:numPr>
          <w:ilvl w:val="0"/>
          <w:numId w:val="1"/>
        </w:numPr>
        <w:ind w:firstLineChars="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胃肠镜检查当天，如鼻炎、感冒、咽喉炎、哮喘、咳嗽等</w:t>
      </w:r>
      <w:r>
        <w:rPr>
          <w:rFonts w:hint="eastAsia" w:ascii="宋体" w:hAnsi="宋体"/>
          <w:b/>
          <w:bCs/>
          <w:sz w:val="30"/>
          <w:szCs w:val="30"/>
        </w:rPr>
        <w:t>呼吸道症状者不能做</w:t>
      </w:r>
      <w:r>
        <w:rPr>
          <w:rFonts w:hint="eastAsia" w:ascii="宋体" w:hAnsi="宋体"/>
          <w:sz w:val="30"/>
          <w:szCs w:val="30"/>
        </w:rPr>
        <w:t>。做无痛胃肠镜人员</w:t>
      </w:r>
      <w:r>
        <w:rPr>
          <w:rFonts w:hint="eastAsia" w:ascii="宋体" w:hAnsi="宋体"/>
          <w:b/>
          <w:bCs/>
          <w:sz w:val="30"/>
          <w:szCs w:val="30"/>
        </w:rPr>
        <w:t>当天都不能开车</w:t>
      </w:r>
      <w:r>
        <w:rPr>
          <w:rFonts w:hint="eastAsia" w:ascii="宋体" w:hAnsi="宋体"/>
          <w:sz w:val="30"/>
          <w:szCs w:val="30"/>
        </w:rPr>
        <w:t>。</w:t>
      </w:r>
    </w:p>
    <w:p w14:paraId="2ABC44E3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上述人员请自行至消化科门诊就诊做胃肠镜，体检中心不能安排。</w:t>
      </w:r>
    </w:p>
    <w:p w14:paraId="1CBE148C">
      <w:pPr>
        <w:widowControl/>
        <w:jc w:val="left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做无痛胃肠镜，需有家属或者亲友陪同。</w:t>
      </w:r>
    </w:p>
    <w:p w14:paraId="53C21BCC">
      <w:pPr>
        <w:rPr>
          <w:rFonts w:ascii="华文楷体" w:hAnsi="华文楷体" w:eastAsia="华文楷体"/>
          <w:b/>
          <w:sz w:val="30"/>
          <w:szCs w:val="30"/>
        </w:rPr>
      </w:pPr>
      <w:r>
        <w:rPr>
          <w:rFonts w:hint="eastAsia" w:ascii="华文楷体" w:hAnsi="华文楷体" w:eastAsia="华文楷体"/>
          <w:b/>
          <w:sz w:val="30"/>
          <w:szCs w:val="30"/>
        </w:rPr>
        <w:t>★★★做胃镜、肠镜检查前如服用阿司匹林、华法令、培达、波利维、泰嘉等抗凝药，需咨询专科医生后，停药7天至10天后，方可做胃肠镜检查。如有心脏病史，动脉支架植入史的患者，不在健康体检中做胃肠镜检查。必须做胃肠镜者请至消化科门诊就诊。</w:t>
      </w:r>
    </w:p>
    <w:p w14:paraId="0741D147">
      <w:pPr>
        <w:pStyle w:val="8"/>
        <w:numPr>
          <w:ilvl w:val="0"/>
          <w:numId w:val="2"/>
        </w:numPr>
        <w:spacing w:line="200" w:lineRule="atLeast"/>
        <w:ind w:firstLineChars="0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体检前几天，要注意饮食，不要吃过多油腻，不易消化的食物，不饮酒，宜低脂清淡饮食，不食猪肝、猪血等含血性食物。</w:t>
      </w:r>
    </w:p>
    <w:p w14:paraId="09BD2F98">
      <w:pPr>
        <w:pStyle w:val="8"/>
        <w:numPr>
          <w:ilvl w:val="0"/>
          <w:numId w:val="2"/>
        </w:numPr>
        <w:spacing w:line="200" w:lineRule="atLeast"/>
        <w:ind w:firstLineChars="0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体检前一天要注意休息，避免剧烈运动和情绪激动，保证充足睡眠，以免影响体检结果，保持个人卫生。</w:t>
      </w:r>
    </w:p>
    <w:p w14:paraId="33B5915A">
      <w:pPr>
        <w:pStyle w:val="8"/>
        <w:numPr>
          <w:ilvl w:val="0"/>
          <w:numId w:val="2"/>
        </w:numPr>
        <w:spacing w:line="200" w:lineRule="atLeast"/>
        <w:ind w:firstLineChars="0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体检当日，不要化妆、不涂指甲油，不戴项链、戒指、耳环等贵重饰品，不要穿连衣裙、连裤袜。</w:t>
      </w:r>
    </w:p>
    <w:p w14:paraId="6DDFE538">
      <w:pPr>
        <w:pStyle w:val="8"/>
        <w:numPr>
          <w:ilvl w:val="0"/>
          <w:numId w:val="2"/>
        </w:numPr>
        <w:spacing w:line="200" w:lineRule="atLeast"/>
        <w:ind w:firstLineChars="0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肠镜检查避开生理期。</w:t>
      </w:r>
    </w:p>
    <w:p w14:paraId="45320935">
      <w:pPr>
        <w:rPr>
          <w:rFonts w:hint="eastAsia" w:ascii="华文楷体" w:hAnsi="华文楷体" w:eastAsia="华文楷体"/>
          <w:b/>
          <w:sz w:val="48"/>
          <w:szCs w:val="48"/>
        </w:rPr>
      </w:pPr>
    </w:p>
    <w:p w14:paraId="1990746C">
      <w:pPr>
        <w:rPr>
          <w:rFonts w:hint="eastAsia" w:ascii="华文楷体" w:hAnsi="华文楷体" w:eastAsia="华文楷体"/>
          <w:b/>
          <w:sz w:val="48"/>
          <w:szCs w:val="48"/>
        </w:rPr>
      </w:pPr>
    </w:p>
    <w:p w14:paraId="7D0B0028">
      <w:pPr>
        <w:rPr>
          <w:rFonts w:ascii="华文楷体" w:hAnsi="华文楷体" w:eastAsia="华文楷体"/>
          <w:b/>
          <w:sz w:val="48"/>
          <w:szCs w:val="48"/>
        </w:rPr>
      </w:pPr>
      <w:r>
        <w:rPr>
          <w:rFonts w:hint="eastAsia" w:ascii="华文楷体" w:hAnsi="华文楷体" w:eastAsia="华文楷体"/>
          <w:b/>
          <w:sz w:val="48"/>
          <w:szCs w:val="48"/>
        </w:rPr>
        <w:t>无痛胃镜检查注意事项：</w:t>
      </w:r>
    </w:p>
    <w:p w14:paraId="3A97A3B3">
      <w:pPr>
        <w:spacing w:line="360" w:lineRule="auto"/>
        <w:rPr>
          <w:rFonts w:hint="eastAsia" w:ascii="Times New Roman" w:hAnsi="Times New Roman" w:cs="Times New Roman"/>
          <w:b/>
          <w:u w:val="single"/>
        </w:rPr>
      </w:pPr>
      <w:r>
        <w:rPr>
          <w:rFonts w:hint="eastAsia" w:ascii="华文楷体" w:hAnsi="华文楷体" w:eastAsia="华文楷体"/>
          <w:sz w:val="30"/>
          <w:szCs w:val="30"/>
        </w:rPr>
        <w:t>体检前一日晚上清淡饮食，晚上八点后禁食，十点后禁水。体检当天若有高血压者，请正常服降压药（</w:t>
      </w:r>
      <w:r>
        <w:rPr>
          <w:rFonts w:hint="eastAsia" w:ascii="华文楷体" w:hAnsi="华文楷体" w:eastAsia="华文楷体"/>
          <w:b/>
          <w:sz w:val="30"/>
          <w:szCs w:val="30"/>
        </w:rPr>
        <w:t>但不喝水</w:t>
      </w:r>
      <w:r>
        <w:rPr>
          <w:rFonts w:hint="eastAsia" w:ascii="华文楷体" w:hAnsi="华文楷体" w:eastAsia="华文楷体"/>
          <w:sz w:val="30"/>
          <w:szCs w:val="30"/>
        </w:rPr>
        <w:t>）。如服用阿司匹林、华法令、培达、波利维、泰嘉等抗凝药不在体检部做胃镜；心脏病史、动脉支架植入史患者，不在体检部做胃镜;请至消化科门诊就诊。如有鼻炎、感冒、咳嗽等呼吸道症状者不能做无痛胃肠镜检查。体检当日请勿开车！</w:t>
      </w:r>
    </w:p>
    <w:p w14:paraId="7104B4B5">
      <w:pPr>
        <w:spacing w:line="200" w:lineRule="atLeast"/>
        <w:rPr>
          <w:rFonts w:hint="eastAsia" w:ascii="华文楷体" w:hAnsi="华文楷体" w:eastAsia="华文楷体"/>
          <w:b/>
          <w:sz w:val="48"/>
          <w:szCs w:val="48"/>
        </w:rPr>
      </w:pPr>
      <w:r>
        <w:rPr>
          <w:rFonts w:hint="eastAsia" w:ascii="华文楷体" w:hAnsi="华文楷体" w:eastAsia="华文楷体"/>
          <w:b/>
          <w:sz w:val="48"/>
          <w:szCs w:val="48"/>
        </w:rPr>
        <w:t>无痛肠镜检查注意事项：</w:t>
      </w:r>
    </w:p>
    <w:p w14:paraId="295A8E05">
      <w:pPr>
        <w:spacing w:line="200" w:lineRule="atLeast"/>
        <w:ind w:left="315" w:leftChars="150"/>
        <w:rPr>
          <w:rFonts w:ascii="华文楷体" w:hAnsi="华文楷体" w:eastAsia="华文楷体"/>
          <w:b/>
          <w:sz w:val="30"/>
          <w:szCs w:val="30"/>
        </w:rPr>
      </w:pPr>
      <w:r>
        <w:rPr>
          <w:rFonts w:hint="eastAsia" w:ascii="华文楷体" w:hAnsi="华文楷体" w:eastAsia="华文楷体"/>
          <w:b/>
          <w:sz w:val="30"/>
          <w:szCs w:val="30"/>
        </w:rPr>
        <w:t>检查前三天，禁粗纤维食物（蔬菜、水果等），如有便秘者请提前四天禁粗纤维食物（如蔬菜、水果）。</w:t>
      </w:r>
    </w:p>
    <w:p w14:paraId="376697CE">
      <w:pPr>
        <w:spacing w:line="200" w:lineRule="atLeast"/>
        <w:ind w:left="315" w:leftChars="150"/>
        <w:rPr>
          <w:rFonts w:ascii="华文楷体" w:hAnsi="华文楷体" w:eastAsia="华文楷体"/>
          <w:b/>
          <w:sz w:val="30"/>
          <w:szCs w:val="30"/>
        </w:rPr>
      </w:pPr>
      <w:r>
        <w:rPr>
          <w:rFonts w:hint="eastAsia" w:ascii="华文楷体" w:hAnsi="华文楷体" w:eastAsia="华文楷体"/>
          <w:b/>
          <w:sz w:val="30"/>
          <w:szCs w:val="30"/>
        </w:rPr>
        <w:t>检查前一天午餐请进食粥、面条等半流质食物，下午1</w:t>
      </w:r>
      <w:r>
        <w:rPr>
          <w:rFonts w:ascii="华文楷体" w:hAnsi="华文楷体" w:eastAsia="华文楷体"/>
          <w:b/>
          <w:sz w:val="30"/>
          <w:szCs w:val="30"/>
        </w:rPr>
        <w:t>3</w:t>
      </w:r>
      <w:r>
        <w:rPr>
          <w:rFonts w:hint="eastAsia" w:ascii="华文楷体" w:hAnsi="华文楷体" w:eastAsia="华文楷体"/>
          <w:b/>
          <w:sz w:val="30"/>
          <w:szCs w:val="30"/>
        </w:rPr>
        <w:t>：0</w:t>
      </w:r>
      <w:r>
        <w:rPr>
          <w:rFonts w:ascii="华文楷体" w:hAnsi="华文楷体" w:eastAsia="华文楷体"/>
          <w:b/>
          <w:sz w:val="30"/>
          <w:szCs w:val="30"/>
        </w:rPr>
        <w:t>0</w:t>
      </w:r>
      <w:r>
        <w:rPr>
          <w:rFonts w:hint="eastAsia" w:ascii="华文楷体" w:hAnsi="华文楷体" w:eastAsia="华文楷体"/>
          <w:b/>
          <w:sz w:val="30"/>
          <w:szCs w:val="30"/>
        </w:rPr>
        <w:t>开始禁食，晚上20:00至22:00服用医院提供的泻药（甘露醇和葡萄糖水）。请将甘露醇和葡萄糖水混合后在</w:t>
      </w:r>
      <w:r>
        <w:rPr>
          <w:rFonts w:ascii="华文楷体" w:hAnsi="华文楷体"/>
          <w:b/>
          <w:sz w:val="30"/>
          <w:szCs w:val="30"/>
        </w:rPr>
        <w:t>两</w:t>
      </w:r>
      <w:r>
        <w:rPr>
          <w:rFonts w:hint="eastAsia" w:ascii="华文楷体" w:hAnsi="华文楷体" w:eastAsia="华文楷体"/>
          <w:b/>
          <w:sz w:val="30"/>
          <w:szCs w:val="30"/>
        </w:rPr>
        <w:t>小时内服完。之后尽量多喝水，应解清大便至水样。晚上24:00点之后禁水。</w:t>
      </w:r>
    </w:p>
    <w:p w14:paraId="32601FEC">
      <w:pPr>
        <w:spacing w:line="200" w:lineRule="atLeast"/>
        <w:rPr>
          <w:rFonts w:ascii="华文楷体" w:hAnsi="华文楷体" w:eastAsia="华文楷体"/>
          <w:b/>
          <w:sz w:val="30"/>
          <w:szCs w:val="30"/>
          <w:shd w:val="pct10" w:color="auto" w:fill="FFFFFF"/>
        </w:rPr>
      </w:pPr>
      <w:r>
        <w:rPr>
          <w:rFonts w:hint="eastAsia" w:ascii="华文楷体" w:hAnsi="华文楷体" w:eastAsia="华文楷体"/>
          <w:b/>
          <w:sz w:val="30"/>
          <w:szCs w:val="30"/>
          <w:shd w:val="pct10" w:color="auto" w:fill="FFFFFF"/>
        </w:rPr>
        <w:t>注：如有糖尿病，请把两瓶葡萄糖</w:t>
      </w:r>
      <w:bookmarkStart w:id="0" w:name="_GoBack"/>
      <w:bookmarkEnd w:id="0"/>
      <w:r>
        <w:rPr>
          <w:rFonts w:hint="eastAsia" w:ascii="华文楷体" w:hAnsi="华文楷体" w:eastAsia="华文楷体"/>
          <w:b/>
          <w:sz w:val="30"/>
          <w:szCs w:val="30"/>
          <w:shd w:val="pct10" w:color="auto" w:fill="FFFFFF"/>
        </w:rPr>
        <w:t>水换成两瓶500毫升的矿泉水。</w:t>
      </w:r>
    </w:p>
    <w:p w14:paraId="2E498DCB">
      <w:pPr>
        <w:spacing w:line="200" w:lineRule="atLeast"/>
        <w:rPr>
          <w:rFonts w:ascii="华文楷体" w:hAnsi="华文楷体" w:eastAsia="华文楷体"/>
          <w:b/>
          <w:sz w:val="30"/>
          <w:szCs w:val="30"/>
          <w:shd w:val="pct10" w:color="auto" w:fill="FFFFFF"/>
        </w:rPr>
      </w:pPr>
      <w:r>
        <w:rPr>
          <w:rFonts w:hint="eastAsia" w:ascii="华文楷体" w:hAnsi="华文楷体" w:eastAsia="华文楷体"/>
          <w:b/>
          <w:sz w:val="30"/>
          <w:szCs w:val="30"/>
          <w:shd w:val="pct10" w:color="auto" w:fill="FFFFFF"/>
        </w:rPr>
        <w:t xml:space="preserve">    如遇天气寒冷，甘露醇会出现结晶，属于正常现象。口服泻药可连袋加热至温热（以减轻胃部不适），结晶消失即可服用，不影响药效。</w:t>
      </w:r>
    </w:p>
    <w:p w14:paraId="33B6B02B">
      <w:pPr>
        <w:tabs>
          <w:tab w:val="left" w:pos="360"/>
        </w:tabs>
        <w:spacing w:line="360" w:lineRule="auto"/>
        <w:ind w:left="357" w:hanging="357"/>
        <w:rPr>
          <w:rFonts w:hint="eastAsia" w:ascii="华文楷体" w:hAnsi="华文楷体" w:eastAsia="华文楷体"/>
          <w:b/>
          <w:sz w:val="30"/>
          <w:szCs w:val="30"/>
        </w:rPr>
      </w:pPr>
      <w:r>
        <w:rPr>
          <w:rFonts w:hint="eastAsia" w:ascii="华文楷体" w:hAnsi="华文楷体" w:eastAsia="华文楷体"/>
          <w:sz w:val="30"/>
          <w:szCs w:val="30"/>
        </w:rPr>
        <w:t>检查当天不能开车，</w:t>
      </w:r>
      <w:r>
        <w:rPr>
          <w:rFonts w:hint="eastAsia" w:ascii="华文楷体" w:hAnsi="华文楷体" w:eastAsia="华文楷体"/>
          <w:b/>
          <w:sz w:val="30"/>
          <w:szCs w:val="30"/>
        </w:rPr>
        <w:t>早上空腹、禁水</w:t>
      </w:r>
      <w:r>
        <w:rPr>
          <w:rFonts w:hint="eastAsia" w:ascii="华文楷体" w:hAnsi="华文楷体" w:eastAsia="华文楷体"/>
          <w:sz w:val="30"/>
          <w:szCs w:val="30"/>
        </w:rPr>
        <w:t>。</w:t>
      </w:r>
      <w:r>
        <w:rPr>
          <w:rFonts w:hint="eastAsia" w:ascii="华文楷体" w:hAnsi="华文楷体" w:eastAsia="华文楷体"/>
          <w:b/>
          <w:sz w:val="30"/>
          <w:szCs w:val="30"/>
        </w:rPr>
        <w:t>(如高血压患者，正常服用高血压药物后</w:t>
      </w:r>
      <w:r>
        <w:rPr>
          <w:rFonts w:hint="eastAsia" w:ascii="华文楷体" w:hAnsi="华文楷体" w:eastAsia="华文楷体"/>
          <w:kern w:val="0"/>
          <w:sz w:val="30"/>
          <w:szCs w:val="30"/>
        </w:rPr>
        <w:t>（</w:t>
      </w:r>
      <w:r>
        <w:rPr>
          <w:rFonts w:hint="eastAsia" w:ascii="华文楷体" w:hAnsi="华文楷体" w:eastAsia="华文楷体"/>
          <w:b/>
          <w:kern w:val="0"/>
          <w:sz w:val="30"/>
          <w:szCs w:val="30"/>
        </w:rPr>
        <w:t>但不喝水）</w:t>
      </w:r>
      <w:r>
        <w:rPr>
          <w:rFonts w:hint="eastAsia" w:ascii="华文楷体" w:hAnsi="华文楷体" w:eastAsia="华文楷体"/>
          <w:b/>
          <w:sz w:val="30"/>
          <w:szCs w:val="30"/>
        </w:rPr>
        <w:t>，再来体检。)</w:t>
      </w:r>
    </w:p>
    <w:p w14:paraId="463C3074">
      <w:pPr>
        <w:spacing w:line="500" w:lineRule="exact"/>
        <w:rPr>
          <w:rFonts w:hint="eastAsia" w:ascii="华文楷体" w:hAnsi="华文楷体" w:eastAsia="华文楷体"/>
          <w:b/>
          <w:sz w:val="30"/>
          <w:szCs w:val="30"/>
        </w:rPr>
      </w:pPr>
      <w:r>
        <w:rPr>
          <w:rFonts w:hint="eastAsia"/>
          <w:sz w:val="28"/>
          <w:szCs w:val="28"/>
        </w:rPr>
        <w:t>温馨提示：倘若胃肠镜有小息肉做切除或者病理活检，请自备零钱挂号付费，体检套餐内不含。</w:t>
      </w:r>
      <w:r>
        <w:rPr>
          <w:rFonts w:hint="eastAsia"/>
          <w:color w:val="FF0000"/>
          <w:sz w:val="28"/>
          <w:szCs w:val="28"/>
          <w:lang w:eastAsia="zh-CN"/>
        </w:rPr>
        <w:t>息肉费用可用医保卡结算，但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无病历记录</w:t>
      </w:r>
      <w:r>
        <w:rPr>
          <w:rFonts w:hint="eastAsia"/>
          <w:sz w:val="28"/>
          <w:szCs w:val="28"/>
          <w:lang w:eastAsia="zh-CN"/>
        </w:rPr>
        <w:t>。</w:t>
      </w:r>
    </w:p>
    <w:p w14:paraId="223EFE23">
      <w:pPr>
        <w:tabs>
          <w:tab w:val="left" w:pos="360"/>
        </w:tabs>
        <w:spacing w:line="360" w:lineRule="auto"/>
        <w:ind w:left="357" w:hanging="357"/>
        <w:rPr>
          <w:rFonts w:hint="eastAsia" w:ascii="Times New Roman" w:hAnsi="Times New Roman" w:cs="Times New Roman"/>
          <w:b/>
          <w:u w:val="single"/>
        </w:rPr>
      </w:pPr>
    </w:p>
    <w:p w14:paraId="58BB8059">
      <w:pPr>
        <w:tabs>
          <w:tab w:val="left" w:pos="360"/>
        </w:tabs>
        <w:spacing w:line="360" w:lineRule="auto"/>
        <w:ind w:left="357" w:hanging="357"/>
        <w:rPr>
          <w:rFonts w:hint="eastAsia" w:ascii="Times New Roman" w:hAnsi="Times New Roman" w:cs="Times New Roman"/>
          <w:b/>
          <w:u w:val="single"/>
        </w:rPr>
      </w:pPr>
    </w:p>
    <w:p w14:paraId="72C5AA8F">
      <w:pPr>
        <w:tabs>
          <w:tab w:val="left" w:pos="360"/>
        </w:tabs>
        <w:spacing w:line="360" w:lineRule="auto"/>
        <w:rPr>
          <w:rFonts w:hint="eastAsia" w:ascii="Times New Roman" w:hAnsi="Times New Roman" w:cs="Times New Roman"/>
          <w:b/>
          <w:u w:val="single"/>
        </w:rPr>
      </w:pPr>
    </w:p>
    <w:p w14:paraId="5D9EE5A5">
      <w:pPr>
        <w:tabs>
          <w:tab w:val="left" w:pos="360"/>
        </w:tabs>
        <w:spacing w:line="360" w:lineRule="auto"/>
        <w:ind w:right="160"/>
        <w:jc w:val="right"/>
        <w:rPr>
          <w:rFonts w:hint="eastAsia" w:ascii="Times New Roman" w:hAnsi="Times New Roman" w:cs="Times New Roman"/>
          <w:b/>
          <w:u w:val="single"/>
        </w:rPr>
      </w:pPr>
      <w:r>
        <w:rPr>
          <w:sz w:val="32"/>
          <w:szCs w:val="32"/>
        </w:rPr>
        <w:t>复旦大学附属中山医院健康管理中心体检部</w:t>
      </w:r>
    </w:p>
    <w:sectPr>
      <w:pgSz w:w="11906" w:h="16838"/>
      <w:pgMar w:top="567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Calibri" w:hAnsi="Calibri" w:eastAsia="宋体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4"/>
    <w:multiLevelType w:val="multilevel"/>
    <w:tmpl w:val="0000000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</w:docVars>
  <w:rsids>
    <w:rsidRoot w:val="00172A27"/>
    <w:rsid w:val="00000095"/>
    <w:rsid w:val="00043A30"/>
    <w:rsid w:val="000500CC"/>
    <w:rsid w:val="00064EE7"/>
    <w:rsid w:val="00066780"/>
    <w:rsid w:val="000750B6"/>
    <w:rsid w:val="000A423B"/>
    <w:rsid w:val="000F69DA"/>
    <w:rsid w:val="00105F62"/>
    <w:rsid w:val="001347F4"/>
    <w:rsid w:val="00150DB5"/>
    <w:rsid w:val="001644B1"/>
    <w:rsid w:val="00174727"/>
    <w:rsid w:val="001A45AD"/>
    <w:rsid w:val="001E429B"/>
    <w:rsid w:val="001F0D7A"/>
    <w:rsid w:val="001F73C0"/>
    <w:rsid w:val="0021695A"/>
    <w:rsid w:val="002178AB"/>
    <w:rsid w:val="002274F7"/>
    <w:rsid w:val="002319C3"/>
    <w:rsid w:val="002B678D"/>
    <w:rsid w:val="002E0286"/>
    <w:rsid w:val="002F18E2"/>
    <w:rsid w:val="003235C8"/>
    <w:rsid w:val="00331E7E"/>
    <w:rsid w:val="00335814"/>
    <w:rsid w:val="00343691"/>
    <w:rsid w:val="00352BC7"/>
    <w:rsid w:val="003E06E5"/>
    <w:rsid w:val="00434D60"/>
    <w:rsid w:val="004923FE"/>
    <w:rsid w:val="004C1BBB"/>
    <w:rsid w:val="004D0A81"/>
    <w:rsid w:val="004E3E08"/>
    <w:rsid w:val="004F422E"/>
    <w:rsid w:val="00550E7B"/>
    <w:rsid w:val="0057058B"/>
    <w:rsid w:val="005716FB"/>
    <w:rsid w:val="0059706A"/>
    <w:rsid w:val="005D486C"/>
    <w:rsid w:val="00600B16"/>
    <w:rsid w:val="00647D0E"/>
    <w:rsid w:val="006700D9"/>
    <w:rsid w:val="006779A5"/>
    <w:rsid w:val="00686900"/>
    <w:rsid w:val="006B4475"/>
    <w:rsid w:val="006B626E"/>
    <w:rsid w:val="00711FA3"/>
    <w:rsid w:val="007439B4"/>
    <w:rsid w:val="00762647"/>
    <w:rsid w:val="007B31F4"/>
    <w:rsid w:val="007E36AD"/>
    <w:rsid w:val="007F3839"/>
    <w:rsid w:val="008375F9"/>
    <w:rsid w:val="00855102"/>
    <w:rsid w:val="008557EF"/>
    <w:rsid w:val="008A1646"/>
    <w:rsid w:val="008A2C97"/>
    <w:rsid w:val="008C0712"/>
    <w:rsid w:val="008C6DA4"/>
    <w:rsid w:val="008F6CEF"/>
    <w:rsid w:val="00915ABA"/>
    <w:rsid w:val="00916000"/>
    <w:rsid w:val="00940025"/>
    <w:rsid w:val="00952577"/>
    <w:rsid w:val="00997CEA"/>
    <w:rsid w:val="009A71C1"/>
    <w:rsid w:val="009B0D07"/>
    <w:rsid w:val="009F33DE"/>
    <w:rsid w:val="00A06167"/>
    <w:rsid w:val="00A34958"/>
    <w:rsid w:val="00A538A5"/>
    <w:rsid w:val="00A87C8A"/>
    <w:rsid w:val="00AA15FA"/>
    <w:rsid w:val="00AC222E"/>
    <w:rsid w:val="00AE0867"/>
    <w:rsid w:val="00AE7A75"/>
    <w:rsid w:val="00B324A1"/>
    <w:rsid w:val="00B44D2A"/>
    <w:rsid w:val="00B45313"/>
    <w:rsid w:val="00B45363"/>
    <w:rsid w:val="00B92AE6"/>
    <w:rsid w:val="00C12C61"/>
    <w:rsid w:val="00C34739"/>
    <w:rsid w:val="00C5241E"/>
    <w:rsid w:val="00CA174A"/>
    <w:rsid w:val="00CA1D3B"/>
    <w:rsid w:val="00CB00E4"/>
    <w:rsid w:val="00CB2B4F"/>
    <w:rsid w:val="00CB78B7"/>
    <w:rsid w:val="00CC6D9F"/>
    <w:rsid w:val="00CC7519"/>
    <w:rsid w:val="00CD4559"/>
    <w:rsid w:val="00CE3F99"/>
    <w:rsid w:val="00D05DE1"/>
    <w:rsid w:val="00D203C2"/>
    <w:rsid w:val="00D31255"/>
    <w:rsid w:val="00D31324"/>
    <w:rsid w:val="00D32E66"/>
    <w:rsid w:val="00D4723F"/>
    <w:rsid w:val="00D56C40"/>
    <w:rsid w:val="00DB1079"/>
    <w:rsid w:val="00DB2A5E"/>
    <w:rsid w:val="00E06060"/>
    <w:rsid w:val="00E173E1"/>
    <w:rsid w:val="00E451E3"/>
    <w:rsid w:val="00E5353D"/>
    <w:rsid w:val="00E7710D"/>
    <w:rsid w:val="00E90E0F"/>
    <w:rsid w:val="00F00339"/>
    <w:rsid w:val="00F239A1"/>
    <w:rsid w:val="00F35280"/>
    <w:rsid w:val="00F71CCF"/>
    <w:rsid w:val="00FA20D0"/>
    <w:rsid w:val="00FB47E5"/>
    <w:rsid w:val="413205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T Extra" w:hAnsi="MT Extr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MT Extra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  <w:rPr>
      <w:rFonts w:ascii="MT Extra" w:hAnsi="MT Extra" w:eastAsia="宋体" w:cs="MT Extra"/>
    </w:rPr>
  </w:style>
  <w:style w:type="table" w:default="1" w:styleId="5">
    <w:name w:val="Normal Table"/>
    <w:uiPriority w:val="0"/>
    <w:rPr>
      <w:rFonts w:ascii="MT Extra" w:hAnsi="MT Extra" w:eastAsia="宋体" w:cs="MT Extra"/>
    </w:rPr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MT Extra" w:hAnsi="MT Extra" w:eastAsia="宋体" w:cs="MT Extra"/>
      <w:sz w:val="18"/>
      <w:szCs w:val="18"/>
    </w:rPr>
  </w:style>
  <w:style w:type="paragraph" w:styleId="3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MT Extra" w:hAnsi="MT Extra" w:eastAsia="宋体" w:cs="MT Extra"/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Strong"/>
    <w:qFormat/>
    <w:uiPriority w:val="0"/>
    <w:rPr>
      <w:rFonts w:ascii="MT Extra" w:hAnsi="MT Extra" w:eastAsia="宋体" w:cs="MT Extra"/>
      <w:b/>
      <w:bCs/>
    </w:rPr>
  </w:style>
  <w:style w:type="paragraph" w:styleId="8">
    <w:name w:val="List Paragraph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9">
    <w:name w:val="apple-converted-space"/>
    <w:uiPriority w:val="0"/>
    <w:rPr>
      <w:rFonts w:ascii="MT Extra" w:hAnsi="MT Extra" w:eastAsia="宋体" w:cs="MT Extra"/>
    </w:rPr>
  </w:style>
  <w:style w:type="character" w:customStyle="1" w:styleId="10">
    <w:name w:val="style21"/>
    <w:uiPriority w:val="0"/>
    <w:rPr>
      <w:rFonts w:ascii="MT Extra" w:hAnsi="MT Extra" w:eastAsia="宋体" w:cs="MT Extra"/>
    </w:rPr>
  </w:style>
  <w:style w:type="character" w:customStyle="1" w:styleId="11">
    <w:name w:val="style41"/>
    <w:uiPriority w:val="0"/>
    <w:rPr>
      <w:rFonts w:ascii="MT Extra" w:hAnsi="MT Extra" w:eastAsia="宋体" w:cs="MT Extra"/>
    </w:rPr>
  </w:style>
  <w:style w:type="character" w:customStyle="1" w:styleId="12">
    <w:name w:val="style91"/>
    <w:uiPriority w:val="0"/>
    <w:rPr>
      <w:rFonts w:ascii="MT Extra" w:hAnsi="MT Extra" w:eastAsia="宋体" w:cs="MT Extra"/>
    </w:rPr>
  </w:style>
  <w:style w:type="character" w:customStyle="1" w:styleId="13">
    <w:name w:val="style11"/>
    <w:uiPriority w:val="0"/>
    <w:rPr>
      <w:rFonts w:ascii="MT Extra" w:hAnsi="MT Extra" w:eastAsia="宋体" w:cs="MT Extra"/>
    </w:rPr>
  </w:style>
  <w:style w:type="character" w:customStyle="1" w:styleId="14">
    <w:name w:val="页眉 Char"/>
    <w:link w:val="3"/>
    <w:uiPriority w:val="0"/>
    <w:rPr>
      <w:rFonts w:ascii="MT Extra" w:hAnsi="MT Extra" w:eastAsia="宋体" w:cs="MT Extra"/>
      <w:kern w:val="2"/>
      <w:sz w:val="18"/>
      <w:szCs w:val="18"/>
    </w:rPr>
  </w:style>
  <w:style w:type="character" w:customStyle="1" w:styleId="15">
    <w:name w:val="页脚 Char"/>
    <w:link w:val="2"/>
    <w:uiPriority w:val="0"/>
    <w:rPr>
      <w:rFonts w:ascii="MT Extra" w:hAnsi="MT Extra" w:eastAsia="宋体" w:cs="MT Extr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955</Words>
  <Characters>973</Characters>
  <Lines>7</Lines>
  <Paragraphs>2</Paragraphs>
  <TotalTime>2</TotalTime>
  <ScaleCrop>false</ScaleCrop>
  <LinksUpToDate>false</LinksUpToDate>
  <CharactersWithSpaces>979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2024-03-06T03:37:00Z</dcterms:created>
  <dc:creator>User</dc:creator>
  <cp:lastModifiedBy>童</cp:lastModifiedBy>
  <dcterms:modified xsi:type="dcterms:W3CDTF">2024-10-18T06:04:22Z</dcterms:modified>
  <dc:title>时间：20 年 月 日 周六 上午 7：00至8：00准时到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4B2BFF8CD584485C9784D813C093A02F_13</vt:lpwstr>
  </property>
  <property fmtid="{D5CDD505-2E9C-101B-9397-08002B2CF9AE}" pid="3" name="KSOProductBuildVer">
    <vt:lpwstr>2052-12.1.0.18276</vt:lpwstr>
  </property>
</Properties>
</file>